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1A126" w14:textId="2F94D9FC" w:rsidR="009E7241" w:rsidRPr="00F86044" w:rsidRDefault="009E7241" w:rsidP="009E7241">
      <w:pPr>
        <w:rPr>
          <w:sz w:val="24"/>
          <w:szCs w:val="24"/>
        </w:rPr>
      </w:pPr>
      <w:r w:rsidRPr="00F86044">
        <w:rPr>
          <w:sz w:val="24"/>
          <w:szCs w:val="24"/>
        </w:rPr>
        <w:t>KLASA:</w:t>
      </w:r>
      <w:r w:rsidR="00033D66">
        <w:rPr>
          <w:sz w:val="24"/>
          <w:szCs w:val="24"/>
        </w:rPr>
        <w:t xml:space="preserve"> </w:t>
      </w:r>
      <w:r w:rsidR="007F6D4C" w:rsidRPr="00F86044">
        <w:rPr>
          <w:sz w:val="24"/>
          <w:szCs w:val="24"/>
        </w:rPr>
        <w:t>470-01/24-01/04</w:t>
      </w:r>
      <w:r w:rsidR="00550F15" w:rsidRPr="00F86044">
        <w:rPr>
          <w:sz w:val="24"/>
          <w:szCs w:val="24"/>
        </w:rPr>
        <w:t xml:space="preserve"> </w:t>
      </w:r>
    </w:p>
    <w:p w14:paraId="20200EA4" w14:textId="7C7B60C6" w:rsidR="009E7241" w:rsidRPr="005165F0" w:rsidRDefault="009E7241" w:rsidP="009E7241">
      <w:pPr>
        <w:rPr>
          <w:sz w:val="24"/>
          <w:szCs w:val="24"/>
        </w:rPr>
      </w:pPr>
      <w:r w:rsidRPr="00F86044">
        <w:rPr>
          <w:sz w:val="24"/>
          <w:szCs w:val="24"/>
        </w:rPr>
        <w:t>URBROJ:</w:t>
      </w:r>
      <w:r w:rsidR="00033D66">
        <w:rPr>
          <w:sz w:val="24"/>
          <w:szCs w:val="24"/>
        </w:rPr>
        <w:t xml:space="preserve"> </w:t>
      </w:r>
      <w:r w:rsidR="007F6D4C" w:rsidRPr="00F86044">
        <w:rPr>
          <w:sz w:val="24"/>
          <w:szCs w:val="24"/>
        </w:rPr>
        <w:t>474-13-03-4</w:t>
      </w:r>
      <w:r w:rsidR="00550F15">
        <w:rPr>
          <w:sz w:val="24"/>
          <w:szCs w:val="24"/>
        </w:rPr>
        <w:t xml:space="preserve"> </w:t>
      </w:r>
    </w:p>
    <w:p w14:paraId="57793EAD" w14:textId="77777777" w:rsidR="00415CC8" w:rsidRPr="005165F0" w:rsidRDefault="00415CC8" w:rsidP="00415CC8">
      <w:pPr>
        <w:rPr>
          <w:sz w:val="24"/>
          <w:szCs w:val="24"/>
        </w:rPr>
      </w:pPr>
    </w:p>
    <w:p w14:paraId="61665F0B" w14:textId="06F4DAEC" w:rsidR="00415CC8" w:rsidRDefault="00415CC8" w:rsidP="00415CC8">
      <w:pPr>
        <w:rPr>
          <w:sz w:val="24"/>
          <w:szCs w:val="24"/>
        </w:rPr>
      </w:pPr>
    </w:p>
    <w:p w14:paraId="7A7F4DC6" w14:textId="77777777" w:rsidR="00644C6D" w:rsidRPr="005165F0" w:rsidRDefault="00644C6D" w:rsidP="00415CC8">
      <w:pPr>
        <w:rPr>
          <w:sz w:val="24"/>
          <w:szCs w:val="24"/>
        </w:rPr>
      </w:pPr>
    </w:p>
    <w:p w14:paraId="13A1D7CB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Naziv proračunskog korisnika: Nacionalna i sveučilišna knjižnica u Zagrebu</w:t>
      </w:r>
    </w:p>
    <w:p w14:paraId="42E03C05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Skraćen naziv: NSK</w:t>
      </w:r>
    </w:p>
    <w:p w14:paraId="2F6B6B4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Adresa: Zagreb, Hrvatske bratske zajednice 4</w:t>
      </w:r>
    </w:p>
    <w:p w14:paraId="46FF4601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OIB: 84838770814</w:t>
      </w:r>
    </w:p>
    <w:p w14:paraId="4A2D6B94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RKP broj: 21836</w:t>
      </w:r>
    </w:p>
    <w:p w14:paraId="4B84F71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IBAN broj: HR66234 0009 11 000 1000 81</w:t>
      </w:r>
    </w:p>
    <w:p w14:paraId="4707FD87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Šifra djelatnosti: 9101</w:t>
      </w:r>
    </w:p>
    <w:p w14:paraId="18960B86" w14:textId="2830A9F2" w:rsidR="0038757F" w:rsidRPr="005165F0" w:rsidRDefault="0038757F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Izvještajno razdoblje: </w:t>
      </w:r>
      <w:r w:rsidR="00537B17">
        <w:rPr>
          <w:sz w:val="24"/>
          <w:szCs w:val="24"/>
        </w:rPr>
        <w:t>0</w:t>
      </w:r>
      <w:r w:rsidRPr="005165F0">
        <w:rPr>
          <w:sz w:val="24"/>
          <w:szCs w:val="24"/>
        </w:rPr>
        <w:t>1.</w:t>
      </w:r>
      <w:r w:rsidR="00537B17">
        <w:rPr>
          <w:sz w:val="24"/>
          <w:szCs w:val="24"/>
        </w:rPr>
        <w:t>0</w:t>
      </w:r>
      <w:r w:rsidRPr="005165F0">
        <w:rPr>
          <w:sz w:val="24"/>
          <w:szCs w:val="24"/>
        </w:rPr>
        <w:t>1.202</w:t>
      </w:r>
      <w:r w:rsidR="00EE2A33">
        <w:rPr>
          <w:sz w:val="24"/>
          <w:szCs w:val="24"/>
        </w:rPr>
        <w:t>4</w:t>
      </w:r>
      <w:r w:rsidRPr="005165F0">
        <w:rPr>
          <w:sz w:val="24"/>
          <w:szCs w:val="24"/>
        </w:rPr>
        <w:t xml:space="preserve">. - </w:t>
      </w:r>
      <w:r w:rsidR="009971FF">
        <w:rPr>
          <w:sz w:val="24"/>
          <w:szCs w:val="24"/>
        </w:rPr>
        <w:t>30</w:t>
      </w:r>
      <w:r w:rsidRPr="005165F0">
        <w:rPr>
          <w:sz w:val="24"/>
          <w:szCs w:val="24"/>
        </w:rPr>
        <w:t>.</w:t>
      </w:r>
      <w:r w:rsidR="00EE2A33">
        <w:rPr>
          <w:sz w:val="24"/>
          <w:szCs w:val="24"/>
        </w:rPr>
        <w:t>06</w:t>
      </w:r>
      <w:r w:rsidRPr="005165F0">
        <w:rPr>
          <w:sz w:val="24"/>
          <w:szCs w:val="24"/>
        </w:rPr>
        <w:t>.20</w:t>
      </w:r>
      <w:r w:rsidR="00EE2A33">
        <w:rPr>
          <w:sz w:val="24"/>
          <w:szCs w:val="24"/>
        </w:rPr>
        <w:t>24.</w:t>
      </w:r>
    </w:p>
    <w:p w14:paraId="4F44C13C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Odgovorna osoba: </w:t>
      </w:r>
      <w:r w:rsidR="0038757F" w:rsidRPr="005165F0">
        <w:rPr>
          <w:sz w:val="24"/>
          <w:szCs w:val="24"/>
        </w:rPr>
        <w:t xml:space="preserve">glavna ravnateljica, </w:t>
      </w:r>
      <w:r w:rsidRPr="005165F0">
        <w:rPr>
          <w:sz w:val="24"/>
          <w:szCs w:val="24"/>
        </w:rPr>
        <w:t>prof. dr. sc. Ivanka Stričević</w:t>
      </w:r>
    </w:p>
    <w:p w14:paraId="1BB6056C" w14:textId="77777777" w:rsidR="00415CC8" w:rsidRPr="005165F0" w:rsidRDefault="0038757F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 xml:space="preserve">Obrazloženje </w:t>
      </w:r>
      <w:r w:rsidR="00415CC8" w:rsidRPr="005165F0">
        <w:rPr>
          <w:sz w:val="24"/>
          <w:szCs w:val="24"/>
        </w:rPr>
        <w:t xml:space="preserve">sastavila: </w:t>
      </w:r>
      <w:r w:rsidRPr="005165F0">
        <w:rPr>
          <w:sz w:val="24"/>
          <w:szCs w:val="24"/>
        </w:rPr>
        <w:t xml:space="preserve">v.d. rukovoditelja Odsjeka, </w:t>
      </w:r>
      <w:r w:rsidR="00415CC8" w:rsidRPr="005165F0">
        <w:rPr>
          <w:sz w:val="24"/>
          <w:szCs w:val="24"/>
        </w:rPr>
        <w:t>Tatjana Marincel Borković, dipl. oec</w:t>
      </w:r>
    </w:p>
    <w:p w14:paraId="30FAC5EB" w14:textId="77777777" w:rsidR="00415CC8" w:rsidRPr="005165F0" w:rsidRDefault="00415CC8" w:rsidP="00415CC8">
      <w:pPr>
        <w:jc w:val="both"/>
        <w:rPr>
          <w:sz w:val="24"/>
          <w:szCs w:val="24"/>
        </w:rPr>
      </w:pPr>
      <w:r w:rsidRPr="005165F0">
        <w:rPr>
          <w:sz w:val="24"/>
          <w:szCs w:val="24"/>
        </w:rPr>
        <w:t>e-adresa: tmarincelborkovic@nsk.hr</w:t>
      </w:r>
    </w:p>
    <w:p w14:paraId="1F879F5D" w14:textId="77777777" w:rsidR="00415CC8" w:rsidRPr="005165F0" w:rsidRDefault="00415CC8" w:rsidP="00415CC8">
      <w:pPr>
        <w:rPr>
          <w:sz w:val="24"/>
          <w:szCs w:val="24"/>
        </w:rPr>
      </w:pPr>
    </w:p>
    <w:p w14:paraId="2CB73825" w14:textId="77777777" w:rsidR="004D62C5" w:rsidRDefault="004D62C5" w:rsidP="004D62C5">
      <w:pPr>
        <w:jc w:val="center"/>
        <w:rPr>
          <w:rStyle w:val="zadanifontodlomka-000006"/>
          <w:b/>
          <w:sz w:val="24"/>
          <w:szCs w:val="24"/>
        </w:rPr>
      </w:pPr>
    </w:p>
    <w:p w14:paraId="53809584" w14:textId="77777777" w:rsidR="00644C6D" w:rsidRDefault="00644C6D" w:rsidP="004D62C5">
      <w:pPr>
        <w:jc w:val="center"/>
        <w:rPr>
          <w:rStyle w:val="zadanifontodlomka-000006"/>
          <w:b/>
          <w:sz w:val="24"/>
          <w:szCs w:val="24"/>
        </w:rPr>
      </w:pPr>
    </w:p>
    <w:p w14:paraId="7A894165" w14:textId="77777777" w:rsidR="004D62C5" w:rsidRDefault="004D62C5" w:rsidP="004D62C5">
      <w:pPr>
        <w:jc w:val="center"/>
        <w:rPr>
          <w:rStyle w:val="zadanifontodlomka-000006"/>
          <w:b/>
          <w:sz w:val="24"/>
          <w:szCs w:val="24"/>
        </w:rPr>
      </w:pPr>
    </w:p>
    <w:p w14:paraId="47608B02" w14:textId="0B955276" w:rsidR="004D62C5" w:rsidRPr="005165F0" w:rsidRDefault="004D62C5" w:rsidP="004D62C5">
      <w:pPr>
        <w:jc w:val="center"/>
        <w:rPr>
          <w:b/>
          <w:sz w:val="24"/>
          <w:szCs w:val="24"/>
        </w:rPr>
      </w:pPr>
      <w:r w:rsidRPr="005165F0">
        <w:rPr>
          <w:rStyle w:val="zadanifontodlomka-000006"/>
          <w:b/>
          <w:sz w:val="24"/>
          <w:szCs w:val="24"/>
        </w:rPr>
        <w:t xml:space="preserve">Obrazloženje </w:t>
      </w:r>
      <w:r>
        <w:rPr>
          <w:rStyle w:val="zadanifontodlomka-000006"/>
          <w:b/>
          <w:sz w:val="24"/>
          <w:szCs w:val="24"/>
        </w:rPr>
        <w:t>O</w:t>
      </w:r>
      <w:r w:rsidRPr="005165F0">
        <w:rPr>
          <w:rStyle w:val="zadanifontodlomka-000006"/>
          <w:b/>
          <w:sz w:val="24"/>
          <w:szCs w:val="24"/>
        </w:rPr>
        <w:t xml:space="preserve">pćeg dijela </w:t>
      </w:r>
      <w:r>
        <w:rPr>
          <w:rStyle w:val="zadanifontodlomka-000006"/>
          <w:b/>
          <w:sz w:val="24"/>
          <w:szCs w:val="24"/>
        </w:rPr>
        <w:t>polu</w:t>
      </w:r>
      <w:r w:rsidRPr="005165F0">
        <w:rPr>
          <w:rStyle w:val="zadanifontodlomka-000006"/>
          <w:b/>
          <w:sz w:val="24"/>
          <w:szCs w:val="24"/>
        </w:rPr>
        <w:t xml:space="preserve">godišnjeg izvještaja o izvršenju financijskog plana Nacionalne i sveučilišne knjižnice u Zagrebu (NSK) </w:t>
      </w:r>
      <w:r>
        <w:rPr>
          <w:rStyle w:val="zadanifontodlomka-000006"/>
          <w:b/>
          <w:sz w:val="24"/>
          <w:szCs w:val="24"/>
        </w:rPr>
        <w:t>za 2024. godinu</w:t>
      </w:r>
    </w:p>
    <w:p w14:paraId="5DC1A497" w14:textId="77777777" w:rsidR="004D62C5" w:rsidRPr="005165F0" w:rsidRDefault="004D62C5" w:rsidP="004D62C5">
      <w:pPr>
        <w:jc w:val="center"/>
        <w:rPr>
          <w:b/>
          <w:sz w:val="24"/>
          <w:szCs w:val="24"/>
        </w:rPr>
      </w:pPr>
    </w:p>
    <w:p w14:paraId="30F98834" w14:textId="77777777" w:rsidR="001E0E2A" w:rsidRPr="005165F0" w:rsidRDefault="001E0E2A" w:rsidP="001E0E2A">
      <w:pPr>
        <w:pStyle w:val="Default"/>
      </w:pPr>
    </w:p>
    <w:p w14:paraId="1EC24A1E" w14:textId="00D78E0F" w:rsidR="00AD592E" w:rsidRDefault="001E0E2A" w:rsidP="00644C6D">
      <w:pPr>
        <w:pStyle w:val="Default"/>
      </w:pPr>
      <w:r w:rsidRPr="005165F0">
        <w:t xml:space="preserve"> </w:t>
      </w:r>
    </w:p>
    <w:p w14:paraId="602DE51D" w14:textId="78D23DCE" w:rsidR="00763818" w:rsidRDefault="004E307A" w:rsidP="003D5B87">
      <w:pPr>
        <w:pStyle w:val="Default"/>
        <w:spacing w:after="9"/>
        <w:jc w:val="both"/>
      </w:pPr>
      <w:r>
        <w:t xml:space="preserve">NSK je u izvještajnom razdoblju ostvarila prihode u </w:t>
      </w:r>
      <w:r w:rsidR="0011274A">
        <w:t xml:space="preserve">ukupnom </w:t>
      </w:r>
      <w:r>
        <w:t>iznosu od 7.406.517,62</w:t>
      </w:r>
      <w:r w:rsidR="00D720E5">
        <w:t xml:space="preserve"> eura</w:t>
      </w:r>
      <w:r w:rsidR="00033D66">
        <w:t xml:space="preserve"> koji se u cijelosti odnose na prihode poslovanja. </w:t>
      </w:r>
      <w:r w:rsidR="00083431">
        <w:t xml:space="preserve">NSK je u izvještajnom razdoblju </w:t>
      </w:r>
      <w:r w:rsidR="0011274A">
        <w:t>izvršila rashode u ukupnom iznosu od 7.025.452,95 eura</w:t>
      </w:r>
      <w:r w:rsidR="00083431">
        <w:t xml:space="preserve"> i to rashode poslovanja u ukupnom iznosu od 6.998,476,86 eura te rashode za nabavu nefinancijske imovine u ukupnom iznosu od 26.976,09 eura.</w:t>
      </w:r>
    </w:p>
    <w:p w14:paraId="0F3FB9D4" w14:textId="77777777" w:rsidR="004D490B" w:rsidRDefault="004D490B" w:rsidP="003D5B87">
      <w:pPr>
        <w:pStyle w:val="Default"/>
        <w:spacing w:after="9"/>
        <w:jc w:val="both"/>
      </w:pPr>
    </w:p>
    <w:tbl>
      <w:tblPr>
        <w:tblW w:w="8226" w:type="dxa"/>
        <w:tblLook w:val="04A0" w:firstRow="1" w:lastRow="0" w:firstColumn="1" w:lastColumn="0" w:noHBand="0" w:noVBand="1"/>
      </w:tblPr>
      <w:tblGrid>
        <w:gridCol w:w="944"/>
        <w:gridCol w:w="937"/>
        <w:gridCol w:w="1411"/>
        <w:gridCol w:w="1265"/>
        <w:gridCol w:w="1116"/>
        <w:gridCol w:w="2739"/>
      </w:tblGrid>
      <w:tr w:rsidR="000E3BB2" w:rsidRPr="000E3BB2" w14:paraId="6211B191" w14:textId="77777777" w:rsidTr="000E3BB2">
        <w:trPr>
          <w:trHeight w:val="300"/>
        </w:trPr>
        <w:tc>
          <w:tcPr>
            <w:tcW w:w="82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4C716" w14:textId="123AFE4E" w:rsid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SAŽETAK RAČUNA PRIHODA I RASHODA</w:t>
            </w:r>
          </w:p>
          <w:p w14:paraId="7C3AA7DC" w14:textId="77777777" w:rsidR="003818F1" w:rsidRDefault="003818F1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47D56F0A" w14:textId="7ED46071" w:rsidR="002D4851" w:rsidRPr="000E3BB2" w:rsidRDefault="002D4851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E3BB2" w:rsidRPr="000E3BB2" w14:paraId="43446FC0" w14:textId="77777777" w:rsidTr="000E3BB2">
        <w:trPr>
          <w:trHeight w:val="51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5E6D5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056D72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- 06.2024.</w:t>
            </w:r>
          </w:p>
        </w:tc>
      </w:tr>
      <w:tr w:rsidR="000E3BB2" w:rsidRPr="000E3BB2" w14:paraId="540F3A90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0193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42A9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E3BB2" w:rsidRPr="000E3BB2" w14:paraId="4A7CB416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46991A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5EC7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7.406.517,62</w:t>
            </w:r>
          </w:p>
        </w:tc>
      </w:tr>
      <w:tr w:rsidR="000E3BB2" w:rsidRPr="000E3BB2" w14:paraId="6E4444F4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87E2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C56A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E3BB2" w:rsidRPr="000E3BB2" w14:paraId="54EDEF5E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C162F7D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28A927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7.406.517,62</w:t>
            </w:r>
          </w:p>
        </w:tc>
      </w:tr>
      <w:tr w:rsidR="000E3BB2" w:rsidRPr="000E3BB2" w14:paraId="3EC18360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4DDD0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749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6.998.476,86</w:t>
            </w:r>
          </w:p>
        </w:tc>
      </w:tr>
      <w:tr w:rsidR="000E3BB2" w:rsidRPr="000E3BB2" w14:paraId="1FEDD5BC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9DB22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7859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26.976,09</w:t>
            </w:r>
          </w:p>
        </w:tc>
      </w:tr>
      <w:tr w:rsidR="000E3BB2" w:rsidRPr="000E3BB2" w14:paraId="4FA82CEF" w14:textId="77777777" w:rsidTr="000E3BB2">
        <w:trPr>
          <w:trHeight w:val="300"/>
        </w:trPr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22D5A41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0EC11A2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B6D392A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836CB69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265C19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7.025.452,95</w:t>
            </w:r>
          </w:p>
        </w:tc>
      </w:tr>
      <w:tr w:rsidR="000E3BB2" w:rsidRPr="000E3BB2" w14:paraId="16476A62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1D09E6D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B5A67A8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381.064,67</w:t>
            </w:r>
          </w:p>
        </w:tc>
      </w:tr>
      <w:tr w:rsidR="000E3BB2" w:rsidRPr="000E3BB2" w14:paraId="2833444F" w14:textId="77777777" w:rsidTr="000E3BB2">
        <w:trPr>
          <w:trHeight w:val="30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ED9E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B332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551C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0C1C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4818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83DC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BB2" w:rsidRPr="000E3BB2" w14:paraId="2402F174" w14:textId="77777777" w:rsidTr="000E3BB2">
        <w:trPr>
          <w:trHeight w:val="30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616E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94AC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70E9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28018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6AD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AB49" w14:textId="77777777" w:rsidR="000E3BB2" w:rsidRPr="000E3BB2" w:rsidRDefault="000E3BB2" w:rsidP="000E3BB2">
            <w:pPr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0E3BB2" w:rsidRPr="000E3BB2" w14:paraId="2FBF5E4D" w14:textId="77777777" w:rsidTr="000E3BB2">
        <w:trPr>
          <w:trHeight w:val="300"/>
        </w:trPr>
        <w:tc>
          <w:tcPr>
            <w:tcW w:w="82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AB9BEA" w14:textId="64D67088" w:rsid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SAŽETAK RAČUNA FINANCIRANJA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11A7ED92" w14:textId="77777777" w:rsidR="002D4851" w:rsidRDefault="002D4851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1FF5B221" w14:textId="6D7E41B5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E3BB2" w:rsidRPr="000E3BB2" w14:paraId="5B19C912" w14:textId="77777777" w:rsidTr="000E3BB2">
        <w:trPr>
          <w:trHeight w:val="51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91804B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3B2A8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OSTVARENJE/IZVRŠENJE </w:t>
            </w: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- 06.2024.</w:t>
            </w:r>
          </w:p>
        </w:tc>
      </w:tr>
      <w:tr w:rsidR="000E3BB2" w:rsidRPr="000E3BB2" w14:paraId="717EED3A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43A311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6964" w14:textId="77777777" w:rsidR="000E3BB2" w:rsidRPr="000E3BB2" w:rsidRDefault="000E3BB2" w:rsidP="000E3BB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0E3BB2" w:rsidRPr="000E3BB2" w14:paraId="64E075B9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FCA59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90F9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E3BB2" w:rsidRPr="000E3BB2" w14:paraId="418FE2B7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12F2C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7337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E3BB2" w:rsidRPr="000E3BB2" w14:paraId="2EA6F03F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47F9693C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 PRIMITAKA I IZDATAKA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470C12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E3BB2" w:rsidRPr="000E3BB2" w14:paraId="133B72CA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B7554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PRIJENOS SREDSTAVA IZ PRETHODNE GODINE</w:t>
            </w:r>
          </w:p>
        </w:tc>
        <w:tc>
          <w:tcPr>
            <w:tcW w:w="255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30B10C8E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1.698.278,38</w:t>
            </w:r>
          </w:p>
        </w:tc>
      </w:tr>
      <w:tr w:rsidR="000E3BB2" w:rsidRPr="000E3BB2" w14:paraId="58D659EF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F62A2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PRIJENOS SREDSTAVA U SLJEDEĆE RAZDOBLJE</w:t>
            </w:r>
          </w:p>
        </w:tc>
        <w:tc>
          <w:tcPr>
            <w:tcW w:w="2553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vAlign w:val="center"/>
            <w:hideMark/>
          </w:tcPr>
          <w:p w14:paraId="6567C3FB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-2.079.343,05</w:t>
            </w:r>
          </w:p>
        </w:tc>
      </w:tr>
      <w:tr w:rsidR="000E3BB2" w:rsidRPr="000E3BB2" w14:paraId="22A941F6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3245194A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NETO FINANCIRANJE 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E80234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-381.064,67</w:t>
            </w:r>
          </w:p>
        </w:tc>
      </w:tr>
      <w:tr w:rsidR="000E3BB2" w:rsidRPr="000E3BB2" w14:paraId="3B26DF64" w14:textId="77777777" w:rsidTr="000E3BB2">
        <w:trPr>
          <w:trHeight w:val="300"/>
        </w:trPr>
        <w:tc>
          <w:tcPr>
            <w:tcW w:w="5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542F44" w14:textId="77777777" w:rsidR="000E3BB2" w:rsidRPr="000E3BB2" w:rsidRDefault="000E3BB2" w:rsidP="000E3BB2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VIŠAK/MANJAK + NETO FINANCIRANJE 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A626B0" w14:textId="77777777" w:rsidR="000E3BB2" w:rsidRPr="000E3BB2" w:rsidRDefault="000E3BB2" w:rsidP="000E3BB2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E3BB2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7D87DEA9" w14:textId="6075FDF1" w:rsidR="00253280" w:rsidRDefault="00253280" w:rsidP="003D5B87">
      <w:pPr>
        <w:pStyle w:val="Default"/>
        <w:spacing w:after="9"/>
        <w:jc w:val="both"/>
      </w:pPr>
    </w:p>
    <w:p w14:paraId="299BECD4" w14:textId="51016D2E" w:rsidR="00253280" w:rsidRDefault="00253280" w:rsidP="003D5B87">
      <w:pPr>
        <w:pStyle w:val="Default"/>
        <w:spacing w:after="9"/>
        <w:jc w:val="both"/>
      </w:pPr>
    </w:p>
    <w:p w14:paraId="1402625B" w14:textId="397B0D8A" w:rsidR="00025E5A" w:rsidRDefault="00F91B57" w:rsidP="00025E5A">
      <w:pPr>
        <w:jc w:val="both"/>
        <w:rPr>
          <w:sz w:val="24"/>
          <w:szCs w:val="24"/>
        </w:rPr>
      </w:pPr>
      <w:r>
        <w:rPr>
          <w:sz w:val="24"/>
          <w:szCs w:val="24"/>
        </w:rPr>
        <w:t>U izvještajnom razdoblju NSK je ostvarila</w:t>
      </w:r>
      <w:r w:rsidR="001E6B2F">
        <w:rPr>
          <w:sz w:val="24"/>
          <w:szCs w:val="24"/>
        </w:rPr>
        <w:t xml:space="preserve"> ukupan </w:t>
      </w:r>
      <w:r>
        <w:rPr>
          <w:sz w:val="24"/>
          <w:szCs w:val="24"/>
        </w:rPr>
        <w:t xml:space="preserve">višak prihoda </w:t>
      </w:r>
      <w:r w:rsidR="001E6B2F">
        <w:rPr>
          <w:sz w:val="24"/>
          <w:szCs w:val="24"/>
        </w:rPr>
        <w:t>u iznosu od 381.064,6</w:t>
      </w:r>
      <w:r w:rsidR="00025E5A">
        <w:rPr>
          <w:sz w:val="24"/>
          <w:szCs w:val="24"/>
        </w:rPr>
        <w:t>7 eura.</w:t>
      </w:r>
      <w:r w:rsidR="00572AA6">
        <w:rPr>
          <w:sz w:val="24"/>
          <w:szCs w:val="24"/>
        </w:rPr>
        <w:t xml:space="preserve"> </w:t>
      </w:r>
      <w:r w:rsidR="00025E5A">
        <w:rPr>
          <w:sz w:val="24"/>
          <w:szCs w:val="24"/>
        </w:rPr>
        <w:t xml:space="preserve">Prenesena sredstva iz prethodne godine </w:t>
      </w:r>
      <w:r w:rsidR="00572AA6">
        <w:rPr>
          <w:sz w:val="24"/>
          <w:szCs w:val="24"/>
        </w:rPr>
        <w:t>uvećana za o</w:t>
      </w:r>
      <w:r w:rsidR="00025E5A">
        <w:rPr>
          <w:sz w:val="24"/>
          <w:szCs w:val="24"/>
        </w:rPr>
        <w:t>stvareni viš</w:t>
      </w:r>
      <w:r w:rsidR="00572AA6">
        <w:rPr>
          <w:sz w:val="24"/>
          <w:szCs w:val="24"/>
        </w:rPr>
        <w:t xml:space="preserve">ak </w:t>
      </w:r>
      <w:r w:rsidR="00025E5A">
        <w:rPr>
          <w:sz w:val="24"/>
          <w:szCs w:val="24"/>
        </w:rPr>
        <w:t>prihoda</w:t>
      </w:r>
      <w:r w:rsidR="00746E68">
        <w:rPr>
          <w:sz w:val="24"/>
          <w:szCs w:val="24"/>
        </w:rPr>
        <w:t xml:space="preserve"> </w:t>
      </w:r>
      <w:r w:rsidR="004437AC">
        <w:rPr>
          <w:sz w:val="24"/>
          <w:szCs w:val="24"/>
        </w:rPr>
        <w:t>u</w:t>
      </w:r>
      <w:r w:rsidR="00710FBA">
        <w:rPr>
          <w:sz w:val="24"/>
          <w:szCs w:val="24"/>
        </w:rPr>
        <w:t xml:space="preserve"> izvještajnom razdoblju, </w:t>
      </w:r>
      <w:r w:rsidR="00025E5A">
        <w:rPr>
          <w:sz w:val="24"/>
          <w:szCs w:val="24"/>
        </w:rPr>
        <w:t>prenijet će se u iduće izvještajno razdoblje</w:t>
      </w:r>
      <w:r w:rsidR="00746E68">
        <w:rPr>
          <w:sz w:val="24"/>
          <w:szCs w:val="24"/>
        </w:rPr>
        <w:t xml:space="preserve"> u </w:t>
      </w:r>
      <w:r w:rsidR="008D2C46">
        <w:rPr>
          <w:sz w:val="24"/>
          <w:szCs w:val="24"/>
        </w:rPr>
        <w:t xml:space="preserve">ukupnom </w:t>
      </w:r>
      <w:r w:rsidR="00746E68">
        <w:rPr>
          <w:sz w:val="24"/>
          <w:szCs w:val="24"/>
        </w:rPr>
        <w:t>iznosu od 2.079.343,05 eura</w:t>
      </w:r>
      <w:r w:rsidR="00025E5A">
        <w:rPr>
          <w:sz w:val="24"/>
          <w:szCs w:val="24"/>
        </w:rPr>
        <w:t xml:space="preserve"> i </w:t>
      </w:r>
      <w:r w:rsidR="00025E5A" w:rsidRPr="00886DB1">
        <w:rPr>
          <w:sz w:val="24"/>
          <w:szCs w:val="24"/>
        </w:rPr>
        <w:t xml:space="preserve">služiti će za izvršavanje rashoda s dospijećem u </w:t>
      </w:r>
      <w:r w:rsidR="00025E5A">
        <w:rPr>
          <w:sz w:val="24"/>
          <w:szCs w:val="24"/>
        </w:rPr>
        <w:t>slijedećem izvještajnom razdoblju</w:t>
      </w:r>
      <w:r w:rsidR="00025E5A" w:rsidRPr="00886DB1">
        <w:rPr>
          <w:sz w:val="24"/>
          <w:szCs w:val="24"/>
        </w:rPr>
        <w:t xml:space="preserve"> te kao rezerva za osiguranje kontinuiteta poslovanja NSK.</w:t>
      </w:r>
    </w:p>
    <w:p w14:paraId="40C34252" w14:textId="1639E199" w:rsidR="00304DC5" w:rsidRDefault="00304DC5" w:rsidP="00025E5A">
      <w:pPr>
        <w:jc w:val="both"/>
        <w:rPr>
          <w:sz w:val="24"/>
          <w:szCs w:val="24"/>
        </w:rPr>
      </w:pPr>
    </w:p>
    <w:p w14:paraId="459063E7" w14:textId="20BD669F" w:rsidR="005879CE" w:rsidRDefault="005879CE" w:rsidP="00025E5A">
      <w:pPr>
        <w:jc w:val="both"/>
        <w:rPr>
          <w:sz w:val="24"/>
          <w:szCs w:val="24"/>
        </w:rPr>
      </w:pPr>
      <w:r w:rsidRPr="005879CE">
        <w:rPr>
          <w:sz w:val="24"/>
          <w:szCs w:val="24"/>
        </w:rPr>
        <w:t>Stanje novčanih sredstava na dan 01.01.202</w:t>
      </w:r>
      <w:r w:rsidR="00AB7842">
        <w:rPr>
          <w:sz w:val="24"/>
          <w:szCs w:val="24"/>
        </w:rPr>
        <w:t>4</w:t>
      </w:r>
      <w:r w:rsidRPr="005879CE">
        <w:rPr>
          <w:sz w:val="24"/>
          <w:szCs w:val="24"/>
        </w:rPr>
        <w:t xml:space="preserve">. godine iznosi </w:t>
      </w:r>
      <w:r w:rsidR="00AB7842">
        <w:rPr>
          <w:sz w:val="24"/>
          <w:szCs w:val="24"/>
        </w:rPr>
        <w:t>2.261.438,59</w:t>
      </w:r>
      <w:r w:rsidRPr="005879CE">
        <w:rPr>
          <w:sz w:val="24"/>
          <w:szCs w:val="24"/>
        </w:rPr>
        <w:t xml:space="preserve"> eura, a na dan 3</w:t>
      </w:r>
      <w:r w:rsidR="00AB7842">
        <w:rPr>
          <w:sz w:val="24"/>
          <w:szCs w:val="24"/>
        </w:rPr>
        <w:t>0</w:t>
      </w:r>
      <w:r w:rsidRPr="005879CE">
        <w:rPr>
          <w:sz w:val="24"/>
          <w:szCs w:val="24"/>
        </w:rPr>
        <w:t>.</w:t>
      </w:r>
      <w:r w:rsidR="00AB7842">
        <w:rPr>
          <w:sz w:val="24"/>
          <w:szCs w:val="24"/>
        </w:rPr>
        <w:t>06</w:t>
      </w:r>
      <w:r w:rsidRPr="005879CE">
        <w:rPr>
          <w:sz w:val="24"/>
          <w:szCs w:val="24"/>
        </w:rPr>
        <w:t>.202</w:t>
      </w:r>
      <w:r w:rsidR="00AB7842">
        <w:rPr>
          <w:sz w:val="24"/>
          <w:szCs w:val="24"/>
        </w:rPr>
        <w:t>4</w:t>
      </w:r>
      <w:r w:rsidRPr="005879CE">
        <w:rPr>
          <w:sz w:val="24"/>
          <w:szCs w:val="24"/>
        </w:rPr>
        <w:t xml:space="preserve">. godine iznosi  </w:t>
      </w:r>
      <w:r w:rsidR="00AB7842">
        <w:rPr>
          <w:sz w:val="24"/>
          <w:szCs w:val="24"/>
        </w:rPr>
        <w:t>2.092.865,17 eura</w:t>
      </w:r>
      <w:r w:rsidRPr="005879CE">
        <w:rPr>
          <w:sz w:val="24"/>
          <w:szCs w:val="24"/>
        </w:rPr>
        <w:t>.  Promet novčanih sredstava između 01.01. i 3</w:t>
      </w:r>
      <w:r w:rsidR="00AB7842">
        <w:rPr>
          <w:sz w:val="24"/>
          <w:szCs w:val="24"/>
        </w:rPr>
        <w:t>0</w:t>
      </w:r>
      <w:r w:rsidRPr="005879CE">
        <w:rPr>
          <w:sz w:val="24"/>
          <w:szCs w:val="24"/>
        </w:rPr>
        <w:t>.</w:t>
      </w:r>
      <w:r w:rsidR="00AB7842">
        <w:rPr>
          <w:sz w:val="24"/>
          <w:szCs w:val="24"/>
        </w:rPr>
        <w:t>06</w:t>
      </w:r>
      <w:r w:rsidRPr="005879CE">
        <w:rPr>
          <w:sz w:val="24"/>
          <w:szCs w:val="24"/>
        </w:rPr>
        <w:t>.202</w:t>
      </w:r>
      <w:r w:rsidR="00AB7842">
        <w:rPr>
          <w:sz w:val="24"/>
          <w:szCs w:val="24"/>
        </w:rPr>
        <w:t>4</w:t>
      </w:r>
      <w:r w:rsidRPr="005879CE">
        <w:rPr>
          <w:sz w:val="24"/>
          <w:szCs w:val="24"/>
        </w:rPr>
        <w:t xml:space="preserve">. godine osim naplate ostvarenih prihoda i izvršavanja ostvarenih rashoda, odnosio se i na uplate i povrate sredstava osiguranja </w:t>
      </w:r>
      <w:proofErr w:type="spellStart"/>
      <w:r w:rsidRPr="005879CE">
        <w:rPr>
          <w:sz w:val="24"/>
          <w:szCs w:val="24"/>
        </w:rPr>
        <w:t>javnonabavnih</w:t>
      </w:r>
      <w:proofErr w:type="spellEnd"/>
      <w:r w:rsidRPr="005879CE">
        <w:rPr>
          <w:sz w:val="24"/>
          <w:szCs w:val="24"/>
        </w:rPr>
        <w:t xml:space="preserve"> postupaka</w:t>
      </w:r>
      <w:r w:rsidR="00033D66">
        <w:rPr>
          <w:sz w:val="24"/>
          <w:szCs w:val="24"/>
        </w:rPr>
        <w:t>.</w:t>
      </w:r>
    </w:p>
    <w:p w14:paraId="1D169CE2" w14:textId="078D49A5" w:rsidR="00A373CC" w:rsidRDefault="00A373CC" w:rsidP="00025E5A">
      <w:pPr>
        <w:jc w:val="both"/>
        <w:rPr>
          <w:sz w:val="24"/>
          <w:szCs w:val="24"/>
        </w:rPr>
      </w:pPr>
    </w:p>
    <w:tbl>
      <w:tblPr>
        <w:tblW w:w="9156" w:type="dxa"/>
        <w:tblLayout w:type="fixed"/>
        <w:tblLook w:val="04A0" w:firstRow="1" w:lastRow="0" w:firstColumn="1" w:lastColumn="0" w:noHBand="0" w:noVBand="1"/>
      </w:tblPr>
      <w:tblGrid>
        <w:gridCol w:w="2977"/>
        <w:gridCol w:w="2253"/>
        <w:gridCol w:w="2000"/>
        <w:gridCol w:w="1926"/>
      </w:tblGrid>
      <w:tr w:rsidR="00A373CC" w:rsidRPr="00A373CC" w14:paraId="7D63A19D" w14:textId="77777777" w:rsidTr="00E721FD">
        <w:trPr>
          <w:trHeight w:val="315"/>
        </w:trPr>
        <w:tc>
          <w:tcPr>
            <w:tcW w:w="9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846DE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IZVJEŠTAJ O PRIHODIMA I RASHODIMA PREMA IZVORIMA FINANCIRANJA</w:t>
            </w:r>
          </w:p>
        </w:tc>
      </w:tr>
      <w:tr w:rsidR="00A373CC" w:rsidRPr="00A373CC" w14:paraId="7692EE3B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C049C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C930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7FB4C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069AD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A373CC" w:rsidRPr="00A373CC" w14:paraId="75F0B3A6" w14:textId="77777777" w:rsidTr="00BF0ECA">
        <w:trPr>
          <w:trHeight w:val="10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CA4C35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A9A58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 / IZVRŠENJE </w:t>
            </w: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br/>
              <w:t>01.2023. - 06.2023.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5FFD01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  / IZVRŠENJE </w:t>
            </w: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- 06.2024.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A03CD" w14:textId="68A55EF2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UDIO U UKUPNO OSTVARENOM</w:t>
            </w:r>
            <w:r w:rsidR="00F25D8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/</w:t>
            </w:r>
            <w:r w:rsidR="00425D38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IZVRŠENOM</w:t>
            </w:r>
          </w:p>
        </w:tc>
      </w:tr>
      <w:tr w:rsidR="00A373CC" w:rsidRPr="00A373CC" w14:paraId="350544E6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8E1E4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EA198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A4625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1D215" w14:textId="77777777" w:rsidR="00A373CC" w:rsidRPr="00A373CC" w:rsidRDefault="00A373CC" w:rsidP="00A373C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A373CC" w:rsidRPr="00A373CC" w14:paraId="7C6727CD" w14:textId="77777777" w:rsidTr="00BF0ECA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630FA28" w14:textId="77777777" w:rsidR="00A373CC" w:rsidRPr="00A373CC" w:rsidRDefault="00A373CC" w:rsidP="00A373CC">
            <w:pPr>
              <w:ind w:firstLineChars="200" w:firstLine="4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F998C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6.073.309,27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664E9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7.406.517,62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E14029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A373CC" w:rsidRPr="00A373CC" w14:paraId="308F1FAF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EB8C" w14:textId="77777777" w:rsidR="00A373CC" w:rsidRPr="00A373CC" w:rsidRDefault="00A373CC" w:rsidP="00A373CC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07F0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5.639.997,40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773B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6.779.220,39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BB46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91,53</w:t>
            </w:r>
          </w:p>
        </w:tc>
      </w:tr>
      <w:tr w:rsidR="00A373CC" w:rsidRPr="00A373CC" w14:paraId="5C5C6E27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6B40" w14:textId="77777777" w:rsidR="00BF0ECA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11 Opći prihodi i </w:t>
            </w:r>
          </w:p>
          <w:p w14:paraId="7DBF44D7" w14:textId="1C92BE62" w:rsidR="00A373CC" w:rsidRPr="00A373CC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E082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5.639.997,40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A8C7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6.779.220,39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B40F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3CC" w:rsidRPr="00A373CC" w14:paraId="1C997F6A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ABAD" w14:textId="77777777" w:rsidR="00A373CC" w:rsidRPr="00A373CC" w:rsidRDefault="00A373CC" w:rsidP="00A373CC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0011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164.050,11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517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165.100,17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D9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2,23</w:t>
            </w:r>
          </w:p>
        </w:tc>
      </w:tr>
      <w:tr w:rsidR="00A373CC" w:rsidRPr="00A373CC" w14:paraId="64EBB0F2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546" w14:textId="77777777" w:rsidR="00A373CC" w:rsidRPr="00A373CC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D80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164.050,11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ACCD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165.100,17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19C7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3CC" w:rsidRPr="00A373CC" w14:paraId="3E4645C4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A547" w14:textId="77777777" w:rsidR="00434B34" w:rsidRDefault="00A373CC" w:rsidP="00A373CC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4 Prihodi za posebne </w:t>
            </w:r>
          </w:p>
          <w:p w14:paraId="40F022F5" w14:textId="55F6F382" w:rsidR="00A373CC" w:rsidRPr="00A373CC" w:rsidRDefault="00A373CC" w:rsidP="00A373CC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namjene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F22F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68.597,34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E577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80.967,52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F1C1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1,09</w:t>
            </w:r>
          </w:p>
        </w:tc>
      </w:tr>
      <w:tr w:rsidR="00A373CC" w:rsidRPr="00A373CC" w14:paraId="38EBF15D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83D9" w14:textId="77777777" w:rsidR="00434B34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43 Ostali prihodi za </w:t>
            </w:r>
          </w:p>
          <w:p w14:paraId="28EF4313" w14:textId="611999F0" w:rsidR="00A373CC" w:rsidRPr="00A373CC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posebne namjene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05B1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68.597,34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56AF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80.967,52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22F5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3CC" w:rsidRPr="00A373CC" w14:paraId="6F0D6A92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470A" w14:textId="77777777" w:rsidR="00A373CC" w:rsidRPr="00A373CC" w:rsidRDefault="00A373CC" w:rsidP="00A373CC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24B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200.664,42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A73D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381.229,54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28D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5,15</w:t>
            </w:r>
          </w:p>
        </w:tc>
      </w:tr>
      <w:tr w:rsidR="00A373CC" w:rsidRPr="00A373CC" w14:paraId="0C9B885D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4A96" w14:textId="77777777" w:rsidR="00A373CC" w:rsidRPr="00A373CC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5DE5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E857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431,00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3CC1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3CC" w:rsidRPr="00A373CC" w14:paraId="3D47CFDF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FDE" w14:textId="77777777" w:rsidR="00A373CC" w:rsidRPr="00A373CC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577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200.664,42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9B6A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336.012,42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F3AB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A373CC" w:rsidRPr="00A373CC" w14:paraId="2F332300" w14:textId="77777777" w:rsidTr="00BF0ECA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73DB" w14:textId="77777777" w:rsidR="00434B34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58 Instrumenti EU nove </w:t>
            </w:r>
          </w:p>
          <w:p w14:paraId="06FE754F" w14:textId="0955F8BF" w:rsidR="00A373CC" w:rsidRPr="00A373CC" w:rsidRDefault="00A373CC" w:rsidP="00A373CC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generacije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FC43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88C2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44.786,12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3C0A" w14:textId="77777777" w:rsidR="00A373CC" w:rsidRPr="00A373CC" w:rsidRDefault="00A373CC" w:rsidP="00A373CC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A373CC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</w:tbl>
    <w:p w14:paraId="524EF39D" w14:textId="77777777" w:rsidR="00A373CC" w:rsidRPr="005879CE" w:rsidRDefault="00A373CC" w:rsidP="00025E5A">
      <w:pPr>
        <w:jc w:val="both"/>
        <w:rPr>
          <w:sz w:val="24"/>
          <w:szCs w:val="24"/>
        </w:rPr>
      </w:pPr>
    </w:p>
    <w:p w14:paraId="550E0746" w14:textId="77777777" w:rsidR="005879CE" w:rsidRPr="00886DB1" w:rsidRDefault="005879CE" w:rsidP="00025E5A">
      <w:pPr>
        <w:jc w:val="both"/>
        <w:rPr>
          <w:sz w:val="24"/>
          <w:szCs w:val="24"/>
        </w:rPr>
      </w:pPr>
    </w:p>
    <w:tbl>
      <w:tblPr>
        <w:tblW w:w="9007" w:type="dxa"/>
        <w:tblLayout w:type="fixed"/>
        <w:tblLook w:val="04A0" w:firstRow="1" w:lastRow="0" w:firstColumn="1" w:lastColumn="0" w:noHBand="0" w:noVBand="1"/>
      </w:tblPr>
      <w:tblGrid>
        <w:gridCol w:w="2870"/>
        <w:gridCol w:w="2117"/>
        <w:gridCol w:w="2118"/>
        <w:gridCol w:w="1902"/>
      </w:tblGrid>
      <w:tr w:rsidR="00E721FD" w:rsidRPr="00E9021A" w14:paraId="7C245A2E" w14:textId="77777777" w:rsidTr="00E721FD">
        <w:trPr>
          <w:trHeight w:val="1275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52608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0FD23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 / IZVRŠENJE </w:t>
            </w: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br/>
              <w:t>01.2023. - 06.2023.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C07D9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OSTVARENJE / IZVRŠENJE </w:t>
            </w: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br/>
              <w:t>01.2024. - 06.2024.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05EB66" w14:textId="5EEC4C24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UDIO U UKUPNO OSTVARENOM</w:t>
            </w:r>
            <w:r w:rsidR="009C61A5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/</w:t>
            </w:r>
            <w:r w:rsidR="00F25D84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IZVRŠENOM</w:t>
            </w:r>
          </w:p>
        </w:tc>
      </w:tr>
      <w:tr w:rsidR="00E721FD" w:rsidRPr="00E9021A" w14:paraId="257BDD99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48469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8609F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1FA19B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79C17" w14:textId="77777777" w:rsidR="00E9021A" w:rsidRPr="00E9021A" w:rsidRDefault="00E9021A" w:rsidP="00E9021A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E721FD" w:rsidRPr="00E9021A" w14:paraId="1992AB83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F0F5C0" w14:textId="77777777" w:rsidR="00E9021A" w:rsidRPr="00E9021A" w:rsidRDefault="00E9021A" w:rsidP="00E9021A">
            <w:pPr>
              <w:ind w:firstLineChars="200" w:firstLine="4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107EF3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5.863.134,68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E2EC98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7.025.452,95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9B6586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288F202A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906C" w14:textId="77777777" w:rsid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1 Opći prihodi i </w:t>
            </w:r>
          </w:p>
          <w:p w14:paraId="2ACA6E4C" w14:textId="7A0CE4CD" w:rsidR="00E9021A" w:rsidRP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2BCF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5.639.997,40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61A4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6.779.220,39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A852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96,50</w:t>
            </w:r>
          </w:p>
        </w:tc>
      </w:tr>
      <w:tr w:rsidR="00E9021A" w:rsidRPr="00E9021A" w14:paraId="5141985F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481D" w14:textId="77777777" w:rsid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11 Opći prihodi i </w:t>
            </w:r>
          </w:p>
          <w:p w14:paraId="15D1C4F3" w14:textId="6C5B5420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primici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6204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5.639.997,40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EEBA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6.779.220,39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FCAF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76ADD0EE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4356" w14:textId="77777777" w:rsidR="00E9021A" w:rsidRP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761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71.323,16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B59C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94.869,46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058E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1,35</w:t>
            </w:r>
          </w:p>
        </w:tc>
      </w:tr>
      <w:tr w:rsidR="00E9021A" w:rsidRPr="00E9021A" w14:paraId="02292C2B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2B15" w14:textId="77777777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31 Vlastiti prihodi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83F1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71.323,16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A10C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94.869,46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3CC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137C67E5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2397" w14:textId="77777777" w:rsid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 xml:space="preserve">4 Prihodi za posebne </w:t>
            </w:r>
          </w:p>
          <w:p w14:paraId="00902632" w14:textId="40563702" w:rsidR="00E9021A" w:rsidRP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namjene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04F7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3611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F5AA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64C15ABD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1FC4" w14:textId="77777777" w:rsid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43 Ostali prihodi za </w:t>
            </w:r>
          </w:p>
          <w:p w14:paraId="26AA71FE" w14:textId="162725DC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posebne namjene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E0C8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4BC0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83A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38DB260F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0469" w14:textId="77777777" w:rsidR="00E9021A" w:rsidRP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24BC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151.814,12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0C0C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150.863,10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AB4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2,15</w:t>
            </w:r>
          </w:p>
        </w:tc>
      </w:tr>
      <w:tr w:rsidR="00E9021A" w:rsidRPr="00E9021A" w14:paraId="6A1FA78B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EFE8" w14:textId="77777777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51 Pomoći EU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64AE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967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431,00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975D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65E10E7B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7AC0" w14:textId="77777777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52 Ostale pomoći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03C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151.814,12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AAA2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105.645,98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E4B6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04B43FB4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41E" w14:textId="77777777" w:rsid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 xml:space="preserve">58 Instrumenti EU </w:t>
            </w:r>
          </w:p>
          <w:p w14:paraId="05F561E6" w14:textId="28A3A0E9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nove generacije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6688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4F2A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44.786,12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DD57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9021A" w:rsidRPr="00E9021A" w14:paraId="5EF1FD7F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A1DA" w14:textId="77777777" w:rsidR="00E9021A" w:rsidRPr="00E9021A" w:rsidRDefault="00E9021A" w:rsidP="00E9021A">
            <w:pPr>
              <w:ind w:firstLineChars="300" w:firstLine="602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EA49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ADEF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AB9A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0,01</w:t>
            </w:r>
          </w:p>
        </w:tc>
      </w:tr>
      <w:tr w:rsidR="00E9021A" w:rsidRPr="00E9021A" w14:paraId="0CF6162D" w14:textId="77777777" w:rsidTr="00E721FD">
        <w:trPr>
          <w:trHeight w:val="255"/>
        </w:trPr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714" w14:textId="77777777" w:rsidR="00E9021A" w:rsidRPr="00E9021A" w:rsidRDefault="00E9021A" w:rsidP="00E9021A">
            <w:pPr>
              <w:ind w:firstLineChars="400" w:firstLine="800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61 Donacije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99FF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9A2A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FE86" w14:textId="77777777" w:rsidR="00E9021A" w:rsidRPr="00E9021A" w:rsidRDefault="00E9021A" w:rsidP="00E9021A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9021A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EAFECB2" w14:textId="2E182342" w:rsidR="00E9021A" w:rsidRDefault="00E9021A" w:rsidP="003D5B87">
      <w:pPr>
        <w:pStyle w:val="Default"/>
        <w:spacing w:after="9"/>
        <w:jc w:val="both"/>
      </w:pPr>
    </w:p>
    <w:p w14:paraId="6F0D7676" w14:textId="728684C0" w:rsidR="00E9021A" w:rsidRDefault="00E9021A" w:rsidP="003D5B87">
      <w:pPr>
        <w:pStyle w:val="Default"/>
        <w:spacing w:after="9"/>
        <w:jc w:val="both"/>
      </w:pPr>
    </w:p>
    <w:p w14:paraId="45CBCADE" w14:textId="701FFE69" w:rsidR="00BE6CB1" w:rsidRPr="00886DB1" w:rsidRDefault="00E255B2" w:rsidP="00BE6CB1">
      <w:pPr>
        <w:pStyle w:val="Default"/>
        <w:spacing w:after="9"/>
        <w:jc w:val="both"/>
      </w:pPr>
      <w:r w:rsidRPr="00886DB1">
        <w:t xml:space="preserve">Prihodi </w:t>
      </w:r>
      <w:r w:rsidR="00D91B4E">
        <w:t xml:space="preserve">su </w:t>
      </w:r>
      <w:r w:rsidRPr="00886DB1">
        <w:t>iskazani  po gotovinskom načelu odnosno kada su naplaćeni.</w:t>
      </w:r>
      <w:r w:rsidR="00AF6969">
        <w:t xml:space="preserve"> Najveći dio ostvarenih prihoda čine prihodi </w:t>
      </w:r>
      <w:r w:rsidR="00DC7C68">
        <w:t xml:space="preserve">iz izvora </w:t>
      </w:r>
      <w:r w:rsidR="00235B2C" w:rsidRPr="00235B2C">
        <w:rPr>
          <w:i/>
        </w:rPr>
        <w:t>o</w:t>
      </w:r>
      <w:r w:rsidR="00DC7C68" w:rsidRPr="00235B2C">
        <w:rPr>
          <w:i/>
        </w:rPr>
        <w:t>pći prihodi i primici</w:t>
      </w:r>
      <w:r w:rsidR="00BE6CB1">
        <w:t xml:space="preserve"> i oni čine 91,53 % ukupnih prihoda u izvještajnom razdoblju. Navedene pr</w:t>
      </w:r>
      <w:r w:rsidR="00DC7C68">
        <w:t>ihod</w:t>
      </w:r>
      <w:r w:rsidR="00BE6CB1">
        <w:t>e</w:t>
      </w:r>
      <w:r w:rsidR="00DC7C68">
        <w:t xml:space="preserve"> </w:t>
      </w:r>
      <w:r w:rsidR="00AF6969" w:rsidRPr="00886DB1">
        <w:t xml:space="preserve">NSK ostvaruje iz nadležnog proračuna za troškove plaća </w:t>
      </w:r>
      <w:r w:rsidR="00AF6969">
        <w:t xml:space="preserve">i materijalnih prava </w:t>
      </w:r>
      <w:r w:rsidR="00AF6969" w:rsidRPr="00886DB1">
        <w:t xml:space="preserve">zaposlenicima te obavljanja redovne djelatnosti </w:t>
      </w:r>
      <w:r w:rsidR="00033D66">
        <w:t xml:space="preserve">i </w:t>
      </w:r>
      <w:r w:rsidR="00AF6969">
        <w:t xml:space="preserve">čine najveći dio ukupno ostvarenih prihoda. </w:t>
      </w:r>
      <w:r w:rsidR="00BE6CB1">
        <w:t xml:space="preserve">Prihode koje NSK ostvaruje </w:t>
      </w:r>
      <w:r w:rsidR="00235B2C">
        <w:t xml:space="preserve">iz izvora </w:t>
      </w:r>
      <w:r w:rsidR="00235B2C">
        <w:rPr>
          <w:i/>
        </w:rPr>
        <w:t xml:space="preserve">pomoći </w:t>
      </w:r>
      <w:r w:rsidR="00BE6CB1">
        <w:t xml:space="preserve">temeljem projektnih aktivnosti, projekti Ministarstva kulture i medija, te ostalih pomoći čine </w:t>
      </w:r>
      <w:r w:rsidR="00EA246B">
        <w:t>5</w:t>
      </w:r>
      <w:r w:rsidR="00BE6CB1">
        <w:t>,</w:t>
      </w:r>
      <w:r w:rsidR="00EA246B">
        <w:t>15</w:t>
      </w:r>
      <w:r w:rsidR="00BE6CB1">
        <w:t xml:space="preserve"> % ukupno ostvarenih prihoda. </w:t>
      </w:r>
      <w:r w:rsidR="00013078">
        <w:t xml:space="preserve">Vlastiti prihodi koje NSK ostvaruje djelovanjem na tržištu i koje čine prihodi od zakupa, najma, refundacija režijskih troškova,  od prodaje roba i ostali prihodi </w:t>
      </w:r>
      <w:r w:rsidR="00033D66">
        <w:t xml:space="preserve">čine </w:t>
      </w:r>
      <w:r w:rsidR="00013078">
        <w:t xml:space="preserve"> 2,23 % u ukupno ostvarenim prihodima. Prihodi za posebne namjene koje NSK ostvaruje od upisnina i zakasnina koje naplaćuje korisnicima čine 1,09 % ukupnih prihoda.</w:t>
      </w:r>
    </w:p>
    <w:p w14:paraId="3C940311" w14:textId="3F17C6F9" w:rsidR="00BE6CB1" w:rsidRDefault="00BE6CB1" w:rsidP="003D5B87">
      <w:pPr>
        <w:pStyle w:val="Default"/>
        <w:spacing w:after="9"/>
        <w:jc w:val="both"/>
      </w:pPr>
      <w:r>
        <w:t xml:space="preserve"> </w:t>
      </w:r>
    </w:p>
    <w:p w14:paraId="280C248C" w14:textId="55F024F8" w:rsidR="00502E96" w:rsidRPr="00886DB1" w:rsidRDefault="00970A0F" w:rsidP="00502E96">
      <w:pPr>
        <w:pStyle w:val="Default"/>
        <w:spacing w:after="9"/>
        <w:jc w:val="both"/>
        <w:rPr>
          <w:color w:val="auto"/>
        </w:rPr>
      </w:pPr>
      <w:r w:rsidRPr="00886DB1">
        <w:t>Rashodi su iskazani po gotovinskom načelu</w:t>
      </w:r>
      <w:r w:rsidR="00033D66">
        <w:t xml:space="preserve"> </w:t>
      </w:r>
      <w:r w:rsidR="00D91B4E">
        <w:t xml:space="preserve">odnosno </w:t>
      </w:r>
      <w:r w:rsidR="00033D66">
        <w:t>kada su plaćeni</w:t>
      </w:r>
      <w:r>
        <w:t>. U izv</w:t>
      </w:r>
      <w:r w:rsidR="003B4B0A" w:rsidRPr="00886DB1">
        <w:t xml:space="preserve">ještajnom razdoblju </w:t>
      </w:r>
      <w:r>
        <w:t xml:space="preserve">najveći dio rashoda izvršen je na teret izvora </w:t>
      </w:r>
      <w:r w:rsidR="00235B2C" w:rsidRPr="00235B2C">
        <w:rPr>
          <w:i/>
        </w:rPr>
        <w:t>o</w:t>
      </w:r>
      <w:r w:rsidRPr="00235B2C">
        <w:rPr>
          <w:i/>
        </w:rPr>
        <w:t>pći prihodi i primici</w:t>
      </w:r>
      <w:r>
        <w:t xml:space="preserve"> i oni čine 96,50 % ukupno izvršenih rashoda.</w:t>
      </w:r>
      <w:r w:rsidR="00B622FC">
        <w:t xml:space="preserve"> U tome značajnu stavku čine r</w:t>
      </w:r>
      <w:r w:rsidR="00F148CF" w:rsidRPr="00886DB1">
        <w:t xml:space="preserve">ashodi za zaposlene </w:t>
      </w:r>
      <w:r w:rsidR="00B622FC">
        <w:t xml:space="preserve">koji su se </w:t>
      </w:r>
      <w:r w:rsidR="00F148CF" w:rsidRPr="00886DB1">
        <w:t>izvršili p</w:t>
      </w:r>
      <w:r w:rsidR="00797B83">
        <w:t>rema</w:t>
      </w:r>
      <w:r w:rsidR="00F148CF" w:rsidRPr="00886DB1">
        <w:t xml:space="preserve"> planiranoj dinamici za sve troškove koj</w:t>
      </w:r>
      <w:r w:rsidR="00502E96" w:rsidRPr="00886DB1">
        <w:t>i</w:t>
      </w:r>
      <w:r w:rsidR="00F148CF" w:rsidRPr="00886DB1">
        <w:t xml:space="preserve"> terete plaće zaposlenik</w:t>
      </w:r>
      <w:r w:rsidR="00550F15">
        <w:t>a</w:t>
      </w:r>
      <w:r w:rsidR="00F148CF" w:rsidRPr="00886DB1">
        <w:t xml:space="preserve"> za redovan rad, posebne uvijete rada, prekovremeni rad te materijalna prava u skladu s propisima koji to reguliraju.</w:t>
      </w:r>
      <w:r w:rsidR="00B622FC">
        <w:t xml:space="preserve"> Rashodi poslovanja iz izvora </w:t>
      </w:r>
      <w:r w:rsidR="00B622FC" w:rsidRPr="00797B83">
        <w:rPr>
          <w:i/>
        </w:rPr>
        <w:t>ostale pomoći</w:t>
      </w:r>
      <w:r w:rsidR="00B622FC">
        <w:t xml:space="preserve"> izvršeni </w:t>
      </w:r>
      <w:r w:rsidR="00995B34">
        <w:t xml:space="preserve">su </w:t>
      </w:r>
      <w:r w:rsidR="00B622FC">
        <w:t xml:space="preserve">u skladu s prihodima iz kojih se financiraju te čine 2,15 % ukupno izvršenih rashoda. </w:t>
      </w:r>
      <w:r w:rsidR="00572004">
        <w:t xml:space="preserve">Rashodi izvršeni na teret izvora </w:t>
      </w:r>
      <w:r w:rsidR="00572004">
        <w:rPr>
          <w:i/>
        </w:rPr>
        <w:t xml:space="preserve">vlastiti prihodi </w:t>
      </w:r>
      <w:r w:rsidR="00572004">
        <w:t xml:space="preserve">čine 1,35 % ukupno izvršenih rashoda i u najvećem se dijelu odnose na materijalne rashode i </w:t>
      </w:r>
      <w:r w:rsidR="00DA5A0B">
        <w:t>rashode za zaposlene.</w:t>
      </w:r>
      <w:r w:rsidR="00FE5170">
        <w:t xml:space="preserve"> Rashodi </w:t>
      </w:r>
      <w:r w:rsidR="007A3105">
        <w:t xml:space="preserve">izvršeni na teret izvora </w:t>
      </w:r>
      <w:r w:rsidR="007A3105">
        <w:rPr>
          <w:i/>
        </w:rPr>
        <w:t xml:space="preserve">donacije </w:t>
      </w:r>
      <w:r w:rsidR="007A3105">
        <w:t>čine 0,01 % ukupno izvršenih rashoda u izvještajnom razdoblju.</w:t>
      </w:r>
    </w:p>
    <w:p w14:paraId="02C58B90" w14:textId="30EF9C8B" w:rsidR="00BD5C68" w:rsidRPr="00886DB1" w:rsidRDefault="00BD5C68" w:rsidP="003D5B87">
      <w:pPr>
        <w:pStyle w:val="Default"/>
        <w:spacing w:after="9"/>
        <w:jc w:val="both"/>
      </w:pPr>
      <w:bookmarkStart w:id="0" w:name="_GoBack"/>
      <w:bookmarkEnd w:id="0"/>
    </w:p>
    <w:p w14:paraId="0A6ADBA6" w14:textId="1777A3D9" w:rsidR="00502E96" w:rsidRDefault="00502E96" w:rsidP="003D5B87">
      <w:pPr>
        <w:pStyle w:val="Default"/>
        <w:spacing w:after="9"/>
        <w:jc w:val="both"/>
      </w:pPr>
    </w:p>
    <w:p w14:paraId="63D57B5F" w14:textId="0FEAC68E" w:rsidR="0011274A" w:rsidRDefault="0011274A" w:rsidP="003D5B87">
      <w:pPr>
        <w:pStyle w:val="Default"/>
        <w:spacing w:after="9"/>
        <w:jc w:val="both"/>
      </w:pPr>
    </w:p>
    <w:p w14:paraId="3CCFDD4C" w14:textId="77777777" w:rsidR="0011274A" w:rsidRPr="00886DB1" w:rsidRDefault="0011274A" w:rsidP="003D5B87">
      <w:pPr>
        <w:pStyle w:val="Default"/>
        <w:spacing w:after="9"/>
        <w:jc w:val="both"/>
      </w:pPr>
    </w:p>
    <w:p w14:paraId="1172EACF" w14:textId="77777777" w:rsidR="001E0E2A" w:rsidRPr="00886DB1" w:rsidRDefault="001E0E2A" w:rsidP="001E0E2A">
      <w:pPr>
        <w:pStyle w:val="Default"/>
        <w:spacing w:after="9"/>
        <w:jc w:val="both"/>
        <w:rPr>
          <w:b/>
        </w:rPr>
      </w:pPr>
    </w:p>
    <w:p w14:paraId="74B975D8" w14:textId="77777777" w:rsidR="000D7192" w:rsidRPr="005165F0" w:rsidRDefault="000D7192" w:rsidP="00415CC8">
      <w:pPr>
        <w:rPr>
          <w:sz w:val="24"/>
          <w:szCs w:val="24"/>
        </w:rPr>
      </w:pPr>
    </w:p>
    <w:sectPr w:rsidR="000D7192" w:rsidRPr="005165F0" w:rsidSect="00056148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29213" w14:textId="77777777" w:rsidR="0063128E" w:rsidRPr="005E3DE1" w:rsidRDefault="0063128E" w:rsidP="005E3DE1">
      <w:r>
        <w:separator/>
      </w:r>
    </w:p>
  </w:endnote>
  <w:endnote w:type="continuationSeparator" w:id="0">
    <w:p w14:paraId="3993A31C" w14:textId="77777777" w:rsidR="0063128E" w:rsidRPr="005E3DE1" w:rsidRDefault="0063128E" w:rsidP="005E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4041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3585692" w14:textId="77777777" w:rsidR="006A0B16" w:rsidRDefault="006A0B16">
            <w:pPr>
              <w:pStyle w:val="Podnoje"/>
              <w:jc w:val="right"/>
            </w:pP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PAGE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  <w:r w:rsidRPr="00AA2ED8">
              <w:t xml:space="preserve"> / </w:t>
            </w:r>
            <w:r w:rsidRPr="00AA2ED8">
              <w:rPr>
                <w:bCs/>
              </w:rPr>
              <w:fldChar w:fldCharType="begin"/>
            </w:r>
            <w:r w:rsidRPr="00AA2ED8">
              <w:rPr>
                <w:bCs/>
              </w:rPr>
              <w:instrText>NUMPAGES</w:instrText>
            </w:r>
            <w:r w:rsidRPr="00AA2ED8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AA2ED8">
              <w:rPr>
                <w:bCs/>
              </w:rPr>
              <w:fldChar w:fldCharType="end"/>
            </w:r>
          </w:p>
        </w:sdtContent>
      </w:sdt>
    </w:sdtContent>
  </w:sdt>
  <w:p w14:paraId="0EFDEEC4" w14:textId="77777777" w:rsidR="006A0B16" w:rsidRDefault="006A0B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94AB7" w14:textId="6920E390" w:rsidR="006E5B72" w:rsidRDefault="00356B11">
    <w:pPr>
      <w:pStyle w:val="Podnoje"/>
      <w:jc w:val="right"/>
    </w:pPr>
    <w:sdt>
      <w:sdtPr>
        <w:id w:val="329264101"/>
        <w:docPartObj>
          <w:docPartGallery w:val="Page Numbers (Bottom of Page)"/>
          <w:docPartUnique/>
        </w:docPartObj>
      </w:sdtPr>
      <w:sdtEndPr/>
      <w:sdtContent>
        <w:r w:rsidR="006E5B72">
          <w:fldChar w:fldCharType="begin"/>
        </w:r>
        <w:r w:rsidR="006E5B72">
          <w:instrText>PAGE   \* MERGEFORMAT</w:instrText>
        </w:r>
        <w:r w:rsidR="006E5B72">
          <w:fldChar w:fldCharType="separate"/>
        </w:r>
        <w:r w:rsidR="006E5B72">
          <w:t>2</w:t>
        </w:r>
        <w:r w:rsidR="006E5B72">
          <w:fldChar w:fldCharType="end"/>
        </w:r>
      </w:sdtContent>
    </w:sdt>
    <w:r w:rsidR="00B07F09">
      <w:t xml:space="preserve"> / 3</w:t>
    </w:r>
  </w:p>
  <w:p w14:paraId="2DCAD15E" w14:textId="77777777" w:rsidR="006A0B16" w:rsidRDefault="006A0B16" w:rsidP="00914A69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F724F" w14:textId="77777777" w:rsidR="0063128E" w:rsidRPr="005E3DE1" w:rsidRDefault="0063128E" w:rsidP="005E3DE1">
      <w:r>
        <w:separator/>
      </w:r>
    </w:p>
  </w:footnote>
  <w:footnote w:type="continuationSeparator" w:id="0">
    <w:p w14:paraId="4273F86E" w14:textId="77777777" w:rsidR="0063128E" w:rsidRPr="005E3DE1" w:rsidRDefault="0063128E" w:rsidP="005E3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83B4C" w14:textId="1D993943" w:rsidR="006A0B16" w:rsidRDefault="00CB786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A369270" wp14:editId="0E4323AC">
          <wp:simplePos x="0" y="0"/>
          <wp:positionH relativeFrom="page">
            <wp:align>left</wp:align>
          </wp:positionH>
          <wp:positionV relativeFrom="paragraph">
            <wp:posOffset>-311012</wp:posOffset>
          </wp:positionV>
          <wp:extent cx="7543800" cy="1435735"/>
          <wp:effectExtent l="0" t="0" r="0" b="0"/>
          <wp:wrapThrough wrapText="bothSides">
            <wp:wrapPolygon edited="0">
              <wp:start x="0" y="0"/>
              <wp:lineTo x="0" y="21208"/>
              <wp:lineTo x="21545" y="21208"/>
              <wp:lineTo x="21545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k memo zaglavlj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A60A5B"/>
    <w:multiLevelType w:val="hybridMultilevel"/>
    <w:tmpl w:val="ADEA77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34F1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24E89"/>
    <w:multiLevelType w:val="hybridMultilevel"/>
    <w:tmpl w:val="7AB28960"/>
    <w:lvl w:ilvl="0" w:tplc="CE82E4A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26973242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3395D"/>
    <w:multiLevelType w:val="hybridMultilevel"/>
    <w:tmpl w:val="01CE8090"/>
    <w:lvl w:ilvl="0" w:tplc="B1D6F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90532"/>
    <w:multiLevelType w:val="hybridMultilevel"/>
    <w:tmpl w:val="9BEAE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DED"/>
    <w:multiLevelType w:val="hybridMultilevel"/>
    <w:tmpl w:val="1422BC5C"/>
    <w:lvl w:ilvl="0" w:tplc="70249E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03" w:tentative="1">
      <w:start w:val="1"/>
      <w:numFmt w:val="bullet"/>
      <w:pStyle w:val="Naslov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541C5"/>
    <w:multiLevelType w:val="hybridMultilevel"/>
    <w:tmpl w:val="A776E46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E57AB"/>
    <w:multiLevelType w:val="hybridMultilevel"/>
    <w:tmpl w:val="CE22A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B7D5B"/>
    <w:multiLevelType w:val="hybridMultilevel"/>
    <w:tmpl w:val="902C6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E1"/>
    <w:rsid w:val="00011976"/>
    <w:rsid w:val="00013078"/>
    <w:rsid w:val="00025E5A"/>
    <w:rsid w:val="00033D66"/>
    <w:rsid w:val="00042F9B"/>
    <w:rsid w:val="00047167"/>
    <w:rsid w:val="00050167"/>
    <w:rsid w:val="00053042"/>
    <w:rsid w:val="00056148"/>
    <w:rsid w:val="00061E9E"/>
    <w:rsid w:val="00064613"/>
    <w:rsid w:val="0007019D"/>
    <w:rsid w:val="0007608F"/>
    <w:rsid w:val="00083431"/>
    <w:rsid w:val="00083BBF"/>
    <w:rsid w:val="00096F11"/>
    <w:rsid w:val="000A58AD"/>
    <w:rsid w:val="000B3E2B"/>
    <w:rsid w:val="000C4FD0"/>
    <w:rsid w:val="000D67CC"/>
    <w:rsid w:val="000D7192"/>
    <w:rsid w:val="000E05C5"/>
    <w:rsid w:val="000E3BB2"/>
    <w:rsid w:val="000F7D24"/>
    <w:rsid w:val="0011274A"/>
    <w:rsid w:val="00117DF6"/>
    <w:rsid w:val="001249B2"/>
    <w:rsid w:val="001511FF"/>
    <w:rsid w:val="00152068"/>
    <w:rsid w:val="00167757"/>
    <w:rsid w:val="00185EA8"/>
    <w:rsid w:val="001865D5"/>
    <w:rsid w:val="00197243"/>
    <w:rsid w:val="001E0E2A"/>
    <w:rsid w:val="001E6B2F"/>
    <w:rsid w:val="0023569B"/>
    <w:rsid w:val="00235B2C"/>
    <w:rsid w:val="00250C8A"/>
    <w:rsid w:val="00253280"/>
    <w:rsid w:val="002537D6"/>
    <w:rsid w:val="002540E9"/>
    <w:rsid w:val="00264945"/>
    <w:rsid w:val="00273ABD"/>
    <w:rsid w:val="002A4698"/>
    <w:rsid w:val="002B0BB7"/>
    <w:rsid w:val="002B497A"/>
    <w:rsid w:val="002B79B2"/>
    <w:rsid w:val="002D182A"/>
    <w:rsid w:val="002D4851"/>
    <w:rsid w:val="002E42A2"/>
    <w:rsid w:val="002E6009"/>
    <w:rsid w:val="002F66BA"/>
    <w:rsid w:val="002F79D9"/>
    <w:rsid w:val="0030059A"/>
    <w:rsid w:val="00302A59"/>
    <w:rsid w:val="00304DC5"/>
    <w:rsid w:val="00306961"/>
    <w:rsid w:val="00316271"/>
    <w:rsid w:val="00322DCD"/>
    <w:rsid w:val="00331695"/>
    <w:rsid w:val="00353F9A"/>
    <w:rsid w:val="00355434"/>
    <w:rsid w:val="00356B11"/>
    <w:rsid w:val="00360863"/>
    <w:rsid w:val="00365FE5"/>
    <w:rsid w:val="00380DD7"/>
    <w:rsid w:val="003818F1"/>
    <w:rsid w:val="00382643"/>
    <w:rsid w:val="0038757F"/>
    <w:rsid w:val="00390F7C"/>
    <w:rsid w:val="00397644"/>
    <w:rsid w:val="003A5C3C"/>
    <w:rsid w:val="003A6007"/>
    <w:rsid w:val="003B1D6E"/>
    <w:rsid w:val="003B401C"/>
    <w:rsid w:val="003B4B0A"/>
    <w:rsid w:val="003C67B1"/>
    <w:rsid w:val="003D5B87"/>
    <w:rsid w:val="003F1064"/>
    <w:rsid w:val="003F603F"/>
    <w:rsid w:val="004022EB"/>
    <w:rsid w:val="00414077"/>
    <w:rsid w:val="00415CC8"/>
    <w:rsid w:val="004169C6"/>
    <w:rsid w:val="0041716F"/>
    <w:rsid w:val="00425D38"/>
    <w:rsid w:val="00434B34"/>
    <w:rsid w:val="00442548"/>
    <w:rsid w:val="004437AC"/>
    <w:rsid w:val="00456FD9"/>
    <w:rsid w:val="00462BE4"/>
    <w:rsid w:val="004631DF"/>
    <w:rsid w:val="00466EBB"/>
    <w:rsid w:val="004703E5"/>
    <w:rsid w:val="004863C2"/>
    <w:rsid w:val="00495E1F"/>
    <w:rsid w:val="004A0B2F"/>
    <w:rsid w:val="004B5604"/>
    <w:rsid w:val="004C23AB"/>
    <w:rsid w:val="004C2BA6"/>
    <w:rsid w:val="004D02FC"/>
    <w:rsid w:val="004D0790"/>
    <w:rsid w:val="004D490B"/>
    <w:rsid w:val="004D62C5"/>
    <w:rsid w:val="004E2D0D"/>
    <w:rsid w:val="004E307A"/>
    <w:rsid w:val="004E73DF"/>
    <w:rsid w:val="004F1E87"/>
    <w:rsid w:val="00502E96"/>
    <w:rsid w:val="00512093"/>
    <w:rsid w:val="005136FF"/>
    <w:rsid w:val="0051544E"/>
    <w:rsid w:val="005165F0"/>
    <w:rsid w:val="0052290C"/>
    <w:rsid w:val="00522D34"/>
    <w:rsid w:val="00537B17"/>
    <w:rsid w:val="00550F15"/>
    <w:rsid w:val="0056108F"/>
    <w:rsid w:val="00570E78"/>
    <w:rsid w:val="00572004"/>
    <w:rsid w:val="00572AA6"/>
    <w:rsid w:val="00573C1A"/>
    <w:rsid w:val="00583387"/>
    <w:rsid w:val="005862FF"/>
    <w:rsid w:val="005879CE"/>
    <w:rsid w:val="005937F6"/>
    <w:rsid w:val="00596F55"/>
    <w:rsid w:val="005A1405"/>
    <w:rsid w:val="005A3A1A"/>
    <w:rsid w:val="005B67D6"/>
    <w:rsid w:val="005B7B77"/>
    <w:rsid w:val="005C738A"/>
    <w:rsid w:val="005D0521"/>
    <w:rsid w:val="005D3889"/>
    <w:rsid w:val="005E3DE1"/>
    <w:rsid w:val="006025A4"/>
    <w:rsid w:val="0061113D"/>
    <w:rsid w:val="0063128E"/>
    <w:rsid w:val="00640F0F"/>
    <w:rsid w:val="00644C6D"/>
    <w:rsid w:val="00653591"/>
    <w:rsid w:val="006558AC"/>
    <w:rsid w:val="00657DC4"/>
    <w:rsid w:val="00667660"/>
    <w:rsid w:val="006856EB"/>
    <w:rsid w:val="006957DE"/>
    <w:rsid w:val="006A0B16"/>
    <w:rsid w:val="006A599F"/>
    <w:rsid w:val="006B21A7"/>
    <w:rsid w:val="006D052F"/>
    <w:rsid w:val="006E5903"/>
    <w:rsid w:val="006E5B72"/>
    <w:rsid w:val="006F30F1"/>
    <w:rsid w:val="00710FBA"/>
    <w:rsid w:val="0071346A"/>
    <w:rsid w:val="007451B3"/>
    <w:rsid w:val="00746E68"/>
    <w:rsid w:val="00762180"/>
    <w:rsid w:val="00762F79"/>
    <w:rsid w:val="00763818"/>
    <w:rsid w:val="00763EE5"/>
    <w:rsid w:val="0077405B"/>
    <w:rsid w:val="007773C8"/>
    <w:rsid w:val="00797B83"/>
    <w:rsid w:val="007A0717"/>
    <w:rsid w:val="007A1A0F"/>
    <w:rsid w:val="007A3105"/>
    <w:rsid w:val="007A411F"/>
    <w:rsid w:val="007B6770"/>
    <w:rsid w:val="007C341D"/>
    <w:rsid w:val="007E0115"/>
    <w:rsid w:val="007E3A60"/>
    <w:rsid w:val="007F3829"/>
    <w:rsid w:val="007F6D4C"/>
    <w:rsid w:val="008014FB"/>
    <w:rsid w:val="0080421E"/>
    <w:rsid w:val="0081420F"/>
    <w:rsid w:val="00820D44"/>
    <w:rsid w:val="008244EC"/>
    <w:rsid w:val="00832C08"/>
    <w:rsid w:val="00834AFA"/>
    <w:rsid w:val="00844DFF"/>
    <w:rsid w:val="00846105"/>
    <w:rsid w:val="00846C80"/>
    <w:rsid w:val="00847BC3"/>
    <w:rsid w:val="00850F58"/>
    <w:rsid w:val="00855F87"/>
    <w:rsid w:val="0085676D"/>
    <w:rsid w:val="00860B5E"/>
    <w:rsid w:val="00861722"/>
    <w:rsid w:val="00863C71"/>
    <w:rsid w:val="00865B14"/>
    <w:rsid w:val="00870AA4"/>
    <w:rsid w:val="00875139"/>
    <w:rsid w:val="008765F3"/>
    <w:rsid w:val="008814FA"/>
    <w:rsid w:val="00882896"/>
    <w:rsid w:val="008865D0"/>
    <w:rsid w:val="00886DB1"/>
    <w:rsid w:val="00891DED"/>
    <w:rsid w:val="00892C9F"/>
    <w:rsid w:val="008937A7"/>
    <w:rsid w:val="008C0E48"/>
    <w:rsid w:val="008C22FC"/>
    <w:rsid w:val="008C282A"/>
    <w:rsid w:val="008C2D28"/>
    <w:rsid w:val="008D2C46"/>
    <w:rsid w:val="008E4EE4"/>
    <w:rsid w:val="00910239"/>
    <w:rsid w:val="00914A69"/>
    <w:rsid w:val="00915D2B"/>
    <w:rsid w:val="00921FB3"/>
    <w:rsid w:val="00925419"/>
    <w:rsid w:val="00950FA9"/>
    <w:rsid w:val="009559DB"/>
    <w:rsid w:val="009566AF"/>
    <w:rsid w:val="0095675D"/>
    <w:rsid w:val="009569E3"/>
    <w:rsid w:val="00964410"/>
    <w:rsid w:val="00967DAC"/>
    <w:rsid w:val="00970A0F"/>
    <w:rsid w:val="009777DB"/>
    <w:rsid w:val="0098036D"/>
    <w:rsid w:val="009861CE"/>
    <w:rsid w:val="00995B34"/>
    <w:rsid w:val="0099604C"/>
    <w:rsid w:val="009971FF"/>
    <w:rsid w:val="009A309B"/>
    <w:rsid w:val="009C61A5"/>
    <w:rsid w:val="009D077F"/>
    <w:rsid w:val="009E1440"/>
    <w:rsid w:val="009E47F1"/>
    <w:rsid w:val="009E7241"/>
    <w:rsid w:val="00A00387"/>
    <w:rsid w:val="00A00B31"/>
    <w:rsid w:val="00A22C67"/>
    <w:rsid w:val="00A27EB3"/>
    <w:rsid w:val="00A305F1"/>
    <w:rsid w:val="00A341B6"/>
    <w:rsid w:val="00A3587B"/>
    <w:rsid w:val="00A373CC"/>
    <w:rsid w:val="00A513A1"/>
    <w:rsid w:val="00A6563C"/>
    <w:rsid w:val="00A72E78"/>
    <w:rsid w:val="00A73255"/>
    <w:rsid w:val="00AA2ED8"/>
    <w:rsid w:val="00AA7549"/>
    <w:rsid w:val="00AB1C38"/>
    <w:rsid w:val="00AB7842"/>
    <w:rsid w:val="00AC075F"/>
    <w:rsid w:val="00AC42A3"/>
    <w:rsid w:val="00AD42B6"/>
    <w:rsid w:val="00AD592E"/>
    <w:rsid w:val="00AD7C2D"/>
    <w:rsid w:val="00AF6969"/>
    <w:rsid w:val="00B00BE0"/>
    <w:rsid w:val="00B07F09"/>
    <w:rsid w:val="00B16319"/>
    <w:rsid w:val="00B1747F"/>
    <w:rsid w:val="00B1763D"/>
    <w:rsid w:val="00B31B45"/>
    <w:rsid w:val="00B33B14"/>
    <w:rsid w:val="00B34DF8"/>
    <w:rsid w:val="00B445EE"/>
    <w:rsid w:val="00B622FC"/>
    <w:rsid w:val="00B85404"/>
    <w:rsid w:val="00BA45CE"/>
    <w:rsid w:val="00BB3E75"/>
    <w:rsid w:val="00BB48B5"/>
    <w:rsid w:val="00BC3732"/>
    <w:rsid w:val="00BD57D1"/>
    <w:rsid w:val="00BD5C68"/>
    <w:rsid w:val="00BE6CB1"/>
    <w:rsid w:val="00BF026E"/>
    <w:rsid w:val="00BF0ECA"/>
    <w:rsid w:val="00BF16C6"/>
    <w:rsid w:val="00C21446"/>
    <w:rsid w:val="00C21D59"/>
    <w:rsid w:val="00C307C2"/>
    <w:rsid w:val="00C377E0"/>
    <w:rsid w:val="00C44ACA"/>
    <w:rsid w:val="00C702AE"/>
    <w:rsid w:val="00C81E7A"/>
    <w:rsid w:val="00C86956"/>
    <w:rsid w:val="00C95839"/>
    <w:rsid w:val="00C958AD"/>
    <w:rsid w:val="00CA4D24"/>
    <w:rsid w:val="00CB7864"/>
    <w:rsid w:val="00CC4922"/>
    <w:rsid w:val="00CD47C7"/>
    <w:rsid w:val="00CD61FD"/>
    <w:rsid w:val="00CE06FE"/>
    <w:rsid w:val="00D21A9F"/>
    <w:rsid w:val="00D22026"/>
    <w:rsid w:val="00D26CD6"/>
    <w:rsid w:val="00D34FBA"/>
    <w:rsid w:val="00D36C1B"/>
    <w:rsid w:val="00D51451"/>
    <w:rsid w:val="00D51F3F"/>
    <w:rsid w:val="00D57CE9"/>
    <w:rsid w:val="00D720E5"/>
    <w:rsid w:val="00D768AF"/>
    <w:rsid w:val="00D91B4E"/>
    <w:rsid w:val="00D953B4"/>
    <w:rsid w:val="00DA0A80"/>
    <w:rsid w:val="00DA2F3A"/>
    <w:rsid w:val="00DA5A0B"/>
    <w:rsid w:val="00DB10B3"/>
    <w:rsid w:val="00DC5CB4"/>
    <w:rsid w:val="00DC7C68"/>
    <w:rsid w:val="00DF573C"/>
    <w:rsid w:val="00E00F96"/>
    <w:rsid w:val="00E07716"/>
    <w:rsid w:val="00E10493"/>
    <w:rsid w:val="00E1175E"/>
    <w:rsid w:val="00E164FD"/>
    <w:rsid w:val="00E255B2"/>
    <w:rsid w:val="00E33A08"/>
    <w:rsid w:val="00E35A1E"/>
    <w:rsid w:val="00E363EB"/>
    <w:rsid w:val="00E41FC4"/>
    <w:rsid w:val="00E4488A"/>
    <w:rsid w:val="00E51F12"/>
    <w:rsid w:val="00E56302"/>
    <w:rsid w:val="00E61D47"/>
    <w:rsid w:val="00E721FD"/>
    <w:rsid w:val="00E742F5"/>
    <w:rsid w:val="00E85760"/>
    <w:rsid w:val="00E87F27"/>
    <w:rsid w:val="00E9021A"/>
    <w:rsid w:val="00E94167"/>
    <w:rsid w:val="00E9674B"/>
    <w:rsid w:val="00EA246B"/>
    <w:rsid w:val="00EB485C"/>
    <w:rsid w:val="00EB5A85"/>
    <w:rsid w:val="00EB5EE0"/>
    <w:rsid w:val="00EB66D1"/>
    <w:rsid w:val="00EE2A33"/>
    <w:rsid w:val="00EF4BE5"/>
    <w:rsid w:val="00F11026"/>
    <w:rsid w:val="00F148CF"/>
    <w:rsid w:val="00F2591C"/>
    <w:rsid w:val="00F25D84"/>
    <w:rsid w:val="00F36526"/>
    <w:rsid w:val="00F51A9C"/>
    <w:rsid w:val="00F5763B"/>
    <w:rsid w:val="00F76E27"/>
    <w:rsid w:val="00F8482C"/>
    <w:rsid w:val="00F849C5"/>
    <w:rsid w:val="00F86044"/>
    <w:rsid w:val="00F91B57"/>
    <w:rsid w:val="00F974B7"/>
    <w:rsid w:val="00FA06A7"/>
    <w:rsid w:val="00FA1A87"/>
    <w:rsid w:val="00FA2283"/>
    <w:rsid w:val="00FB3EA5"/>
    <w:rsid w:val="00FD557E"/>
    <w:rsid w:val="00FE4CDB"/>
    <w:rsid w:val="00FE5170"/>
    <w:rsid w:val="00FE7DB6"/>
    <w:rsid w:val="00FF1226"/>
    <w:rsid w:val="00FF3A74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2AD1A5"/>
  <w15:docId w15:val="{1832A36F-16FF-4A5F-A040-853D4FE6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0A58AD"/>
    <w:pPr>
      <w:keepNext/>
      <w:numPr>
        <w:ilvl w:val="1"/>
        <w:numId w:val="2"/>
      </w:numPr>
      <w:suppressAutoHyphens/>
      <w:outlineLvl w:val="1"/>
    </w:pPr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3DE1"/>
  </w:style>
  <w:style w:type="paragraph" w:styleId="Podnoje">
    <w:name w:val="footer"/>
    <w:basedOn w:val="Normal"/>
    <w:link w:val="PodnojeChar"/>
    <w:uiPriority w:val="99"/>
    <w:unhideWhenUsed/>
    <w:rsid w:val="005E3D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3DE1"/>
  </w:style>
  <w:style w:type="paragraph" w:styleId="Tekstbalonia">
    <w:name w:val="Balloon Text"/>
    <w:basedOn w:val="Normal"/>
    <w:link w:val="TekstbaloniaChar"/>
    <w:uiPriority w:val="99"/>
    <w:semiHidden/>
    <w:unhideWhenUsed/>
    <w:rsid w:val="005E3D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DE1"/>
    <w:rPr>
      <w:rFonts w:ascii="Tahoma" w:hAnsi="Tahoma" w:cs="Tahoma"/>
      <w:sz w:val="16"/>
      <w:szCs w:val="16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022EB"/>
    <w:rPr>
      <w:rFonts w:ascii="Calibri" w:eastAsia="Calibri" w:hAnsi="Calibri" w:cs="Times New Roman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4022EB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A6563C"/>
    <w:pPr>
      <w:ind w:left="720"/>
      <w:contextualSpacing/>
    </w:pPr>
    <w:rPr>
      <w:rFonts w:eastAsia="Times New Roman" w:cs="Times New Roman"/>
      <w:sz w:val="24"/>
      <w:szCs w:val="20"/>
      <w:lang w:val="en-AU" w:eastAsia="hr-HR"/>
    </w:rPr>
  </w:style>
  <w:style w:type="paragraph" w:styleId="Revizija">
    <w:name w:val="Revision"/>
    <w:hidden/>
    <w:uiPriority w:val="99"/>
    <w:semiHidden/>
    <w:rsid w:val="00152068"/>
  </w:style>
  <w:style w:type="character" w:customStyle="1" w:styleId="Naslov2Char">
    <w:name w:val="Naslov 2 Char"/>
    <w:basedOn w:val="Zadanifontodlomka"/>
    <w:link w:val="Naslov2"/>
    <w:rsid w:val="000A58AD"/>
    <w:rPr>
      <w:rFonts w:ascii="Tahoma" w:eastAsia="Times New Roman" w:hAnsi="Tahoma" w:cs="Times New Roman"/>
      <w:b/>
      <w:sz w:val="20"/>
      <w:szCs w:val="20"/>
      <w:lang w:val="en-AU" w:eastAsia="ar-SA"/>
    </w:rPr>
  </w:style>
  <w:style w:type="character" w:customStyle="1" w:styleId="FontStyle19">
    <w:name w:val="Font Style19"/>
    <w:basedOn w:val="Zadanifontodlomka"/>
    <w:rsid w:val="000A58AD"/>
    <w:rPr>
      <w:rFonts w:ascii="Microsoft Sans Serif" w:hAnsi="Microsoft Sans Serif" w:cs="Microsoft Sans Serif"/>
      <w:sz w:val="18"/>
      <w:szCs w:val="18"/>
    </w:rPr>
  </w:style>
  <w:style w:type="paragraph" w:styleId="Bezproreda">
    <w:name w:val="No Spacing"/>
    <w:uiPriority w:val="1"/>
    <w:qFormat/>
    <w:rsid w:val="00762180"/>
    <w:rPr>
      <w:rFonts w:asciiTheme="minorHAnsi" w:hAnsiTheme="minorHAnsi"/>
    </w:rPr>
  </w:style>
  <w:style w:type="character" w:customStyle="1" w:styleId="zadanifontodlomka-000006">
    <w:name w:val="zadanifontodlomka-000006"/>
    <w:basedOn w:val="Zadanifontodlomka"/>
    <w:rsid w:val="00415CC8"/>
    <w:rPr>
      <w:rFonts w:ascii="Times New Roman" w:hAnsi="Times New Roman" w:cs="Times New Roman" w:hint="default"/>
      <w:b w:val="0"/>
      <w:bCs w:val="0"/>
    </w:rPr>
  </w:style>
  <w:style w:type="paragraph" w:customStyle="1" w:styleId="Default">
    <w:name w:val="Default"/>
    <w:rsid w:val="001E0E2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D47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D47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D47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D47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D4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C39B-DDB2-43BB-9398-1880DD3D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Nacionalna i sveučilišna knjižnica u Zagrebu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Hasanec</dc:creator>
  <cp:lastModifiedBy>Tatjana Marincel Borković</cp:lastModifiedBy>
  <cp:revision>222</cp:revision>
  <cp:lastPrinted>2024-07-19T13:49:00Z</cp:lastPrinted>
  <dcterms:created xsi:type="dcterms:W3CDTF">2023-08-21T11:09:00Z</dcterms:created>
  <dcterms:modified xsi:type="dcterms:W3CDTF">2024-07-20T12:19:00Z</dcterms:modified>
</cp:coreProperties>
</file>